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z w:val="24"/>
          <w:szCs w:val="24"/>
          <w:u w:val="no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7 below shall apply.</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the Framework Prices are linked to inflation</w:t>
      </w:r>
    </w:p>
    <w:p w:rsidR="00000000" w:rsidDel="00000000" w:rsidP="00000000" w:rsidRDefault="00000000" w:rsidRPr="00000000" w14:paraId="0000001A">
      <w:pPr>
        <w:numPr>
          <w:ilvl w:val="1"/>
          <w:numId w:val="1"/>
        </w:numPr>
        <w:tabs>
          <w:tab w:val="left" w:leader="none" w:pos="709"/>
        </w:tabs>
        <w:spacing w:after="120" w:before="120" w:line="240" w:lineRule="auto"/>
        <w:ind w:left="992.1259842519685" w:hanging="425.19685039370086"/>
      </w:pPr>
      <w:r w:rsidDel="00000000" w:rsidR="00000000" w:rsidRPr="00000000">
        <w:rPr>
          <w:rFonts w:ascii="Arial" w:cs="Arial" w:eastAsia="Arial" w:hAnsi="Arial"/>
          <w:sz w:val="24"/>
          <w:szCs w:val="24"/>
          <w:rtl w:val="0"/>
        </w:rPr>
        <w:t xml:space="preserve">The Framework Prices will be fixed for the first 2 years following the Framework Start Date (the date of expiry of such period is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1"/>
          <w:numId w:val="1"/>
        </w:numPr>
        <w:tabs>
          <w:tab w:val="left" w:leader="none" w:pos="709"/>
        </w:tabs>
        <w:spacing w:after="120" w:before="120" w:line="240" w:lineRule="auto"/>
        <w:ind w:left="992.1259842519685" w:hanging="425.19685039370086"/>
      </w:pPr>
      <w:r w:rsidDel="00000000" w:rsidR="00000000" w:rsidRPr="00000000">
        <w:rPr>
          <w:rFonts w:ascii="Arial" w:cs="Arial" w:eastAsia="Arial" w:hAnsi="Arial"/>
          <w:sz w:val="24"/>
          <w:szCs w:val="24"/>
          <w:rtl w:val="0"/>
        </w:rPr>
        <w:t xml:space="preserve">Where the Framework Prices are stated to be "subject to Indexation", upon the request of the Supplier, they shall be adjusted in line with changes in the Service Producer Price Indices ("SPPI"), group 69.2 Accounting, bookkeeping and auditing activities; tax consultancy.The Supplier shall give CCS at least three (3), but no more than five (5), Months' notice in writing prior to a Review Date where it wants to request an adjustment. If the Supplier does not give notice in time then it will only be able to request an increase prior to the next Review Date.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1C">
      <w:pPr>
        <w:numPr>
          <w:ilvl w:val="1"/>
          <w:numId w:val="1"/>
        </w:numPr>
        <w:tabs>
          <w:tab w:val="left" w:leader="none" w:pos="709"/>
        </w:tabs>
        <w:spacing w:after="120" w:before="120" w:line="240" w:lineRule="auto"/>
        <w:ind w:left="992.1259842519685" w:hanging="425.19685039370086"/>
      </w:pPr>
      <w:r w:rsidDel="00000000" w:rsidR="00000000" w:rsidRPr="00000000">
        <w:rPr>
          <w:rFonts w:ascii="Arial" w:cs="Arial" w:eastAsia="Arial" w:hAnsi="Arial"/>
          <w:sz w:val="24"/>
          <w:szCs w:val="24"/>
          <w:rtl w:val="0"/>
        </w:rPr>
        <w:t xml:space="preserve">Where a request is made in accordance with Paragraph 6.2 above and  Annex 1 states a Framework Price is subject to Indexation, then it will be indexed on the date which is 2 years after the Framework Start Date, and on each following yearly anniversary where an additional request has been made, to reflect the SSPI group 69.2 as at the January preceding the Review Date. </w:t>
      </w: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1D">
      <w:pPr>
        <w:numPr>
          <w:ilvl w:val="1"/>
          <w:numId w:val="1"/>
        </w:numPr>
        <w:tabs>
          <w:tab w:val="left" w:leader="none" w:pos="709"/>
        </w:tabs>
        <w:spacing w:after="120" w:before="120" w:line="240" w:lineRule="auto"/>
        <w:ind w:left="992.1259842519685" w:hanging="425.19685039370086"/>
      </w:pPr>
      <w:r w:rsidDel="00000000" w:rsidR="00000000" w:rsidRPr="00000000">
        <w:rPr>
          <w:rFonts w:ascii="Arial" w:cs="Arial" w:eastAsia="Arial" w:hAnsi="Arial"/>
          <w:sz w:val="24"/>
          <w:szCs w:val="24"/>
          <w:rtl w:val="0"/>
        </w:rPr>
        <w:t xml:space="preserve">Where the SPPI Index:</w:t>
      </w:r>
    </w:p>
    <w:p w:rsidR="00000000" w:rsidDel="00000000" w:rsidP="00000000" w:rsidRDefault="00000000" w:rsidRPr="00000000" w14:paraId="0000001E">
      <w:pPr>
        <w:numPr>
          <w:ilvl w:val="2"/>
          <w:numId w:val="1"/>
        </w:numPr>
        <w:tabs>
          <w:tab w:val="left" w:leader="none" w:pos="1985"/>
          <w:tab w:val="left" w:leader="none" w:pos="2127"/>
        </w:tabs>
        <w:spacing w:after="120" w:before="120" w:line="240" w:lineRule="auto"/>
        <w:ind w:left="1984.251968503937" w:hanging="850.3937007874017"/>
        <w:rPr>
          <w:rFonts w:ascii="Arial" w:cs="Arial" w:eastAsia="Arial" w:hAnsi="Arial"/>
        </w:rPr>
      </w:pPr>
      <w:r w:rsidDel="00000000" w:rsidR="00000000" w:rsidRPr="00000000">
        <w:rPr>
          <w:rFonts w:ascii="Arial" w:cs="Arial" w:eastAsia="Arial" w:hAnsi="Arial"/>
          <w:sz w:val="24"/>
          <w:szCs w:val="24"/>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1F">
      <w:pPr>
        <w:numPr>
          <w:ilvl w:val="2"/>
          <w:numId w:val="1"/>
        </w:numPr>
        <w:tabs>
          <w:tab w:val="left" w:leader="none" w:pos="1985"/>
          <w:tab w:val="left" w:leader="none" w:pos="2127"/>
        </w:tabs>
        <w:spacing w:after="120" w:before="120" w:line="240" w:lineRule="auto"/>
        <w:ind w:left="1984.251968503937" w:hanging="850.3937007874017"/>
        <w:rPr>
          <w:rFonts w:ascii="Arial" w:cs="Arial" w:eastAsia="Arial" w:hAnsi="Arial"/>
        </w:rPr>
      </w:pPr>
      <w:r w:rsidDel="00000000" w:rsidR="00000000" w:rsidRPr="00000000">
        <w:rPr>
          <w:rFonts w:ascii="Arial" w:cs="Arial" w:eastAsia="Arial" w:hAnsi="Arial"/>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0">
      <w:pPr>
        <w:numPr>
          <w:ilvl w:val="1"/>
          <w:numId w:val="1"/>
        </w:numPr>
        <w:tabs>
          <w:tab w:val="left" w:leader="none" w:pos="1985"/>
          <w:tab w:val="left" w:leader="none" w:pos="2127"/>
        </w:tabs>
        <w:spacing w:after="120" w:before="120" w:line="240" w:lineRule="auto"/>
        <w:ind w:left="992.1259842519685" w:hanging="425.19685039370086"/>
      </w:pPr>
      <w:r w:rsidDel="00000000" w:rsidR="00000000" w:rsidRPr="00000000">
        <w:rPr>
          <w:rFonts w:ascii="Arial" w:cs="Arial" w:eastAsia="Arial" w:hAnsi="Arial"/>
          <w:sz w:val="24"/>
          <w:szCs w:val="24"/>
          <w:rtl w:val="0"/>
        </w:rPr>
        <w:t xml:space="preserve">Where the Order Form permits, the Buyer may apply SPPI group 69.2 to the Charges. With agreement from the Buyer, the Charges may exceed the Framework Prices after the Framework Expiry Date.</w:t>
      </w:r>
    </w:p>
    <w:p w:rsidR="00000000" w:rsidDel="00000000" w:rsidP="00000000" w:rsidRDefault="00000000" w:rsidRPr="00000000" w14:paraId="00000021">
      <w:pPr>
        <w:tabs>
          <w:tab w:val="left" w:leader="none" w:pos="1985"/>
          <w:tab w:val="left" w:leader="none" w:pos="2127"/>
        </w:tabs>
        <w:spacing w:after="120" w:before="1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Expenses shall only be recoverable where:</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Order Form states that recovery is permitted;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they are Reimburseable Expenses and are supported by Supporting Documentation.</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67.0708661417325"/>
        <w:jc w:val="left"/>
        <w:rPr>
          <w:rFonts w:ascii="Arial" w:cs="Arial" w:eastAsia="Arial" w:hAnsi="Arial"/>
          <w:b w:val="0"/>
          <w:i w:val="0"/>
          <w:smallCaps w:val="0"/>
          <w:strike w:val="0"/>
          <w:color w:val="000000"/>
          <w:sz w:val="24"/>
          <w:szCs w:val="24"/>
          <w:vertAlign w:val="baseline"/>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pageBreakBefore w:val="0"/>
        <w:rPr>
          <w:rFonts w:ascii="Arial" w:cs="Arial" w:eastAsia="Arial" w:hAnsi="Arial"/>
          <w:b w:val="1"/>
          <w:sz w:val="36"/>
          <w:szCs w:val="36"/>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be subject to variation by way of Indexation.</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below day rates will be used to calculate hourly rates by dividing the Day Rate by eight (8). The Supplier (and its Sub-Contractor) shall not be entitled to include any uplift for risks or contingencies within its hourly rates.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1</w:t>
      </w:r>
    </w:p>
    <w:tbl>
      <w:tblPr>
        <w:tblStyle w:val="Table1"/>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440"/>
        <w:tblGridChange w:id="0">
          <w:tblGrid>
            <w:gridCol w:w="4530"/>
            <w:gridCol w:w="4440"/>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2E">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2F">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0">
            <w:pPr>
              <w:spacing w:after="120" w:before="240" w:line="276"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1">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2">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3">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4">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5">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6">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7">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8">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9">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A">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B">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p w:rsidR="00000000" w:rsidDel="00000000" w:rsidP="00000000" w:rsidRDefault="00000000" w:rsidRPr="00000000" w14:paraId="0000003C">
      <w:pPr>
        <w:spacing w:after="120" w:before="240" w:line="276"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2 and 4</w:t>
      </w:r>
    </w:p>
    <w:tbl>
      <w:tblPr>
        <w:tblStyle w:val="Table2"/>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85"/>
        <w:gridCol w:w="4485"/>
        <w:tblGridChange w:id="0">
          <w:tblGrid>
            <w:gridCol w:w="4485"/>
            <w:gridCol w:w="4485"/>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3D">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3E">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F">
            <w:pPr>
              <w:spacing w:after="120" w:before="240" w:line="276"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0">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1">
            <w:pPr>
              <w:spacing w:after="0" w:before="240" w:line="276"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2">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3">
            <w:pPr>
              <w:spacing w:after="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4">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5">
            <w:pPr>
              <w:spacing w:after="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6">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7">
            <w:pPr>
              <w:spacing w:after="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8">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9">
            <w:pPr>
              <w:spacing w:after="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A">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p w:rsidR="00000000" w:rsidDel="00000000" w:rsidP="00000000" w:rsidRDefault="00000000" w:rsidRPr="00000000" w14:paraId="0000004B">
      <w:pPr>
        <w:spacing w:after="120" w:before="240" w:line="276"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3</w:t>
      </w:r>
    </w:p>
    <w:tbl>
      <w:tblPr>
        <w:tblStyle w:val="Table3"/>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45"/>
        <w:gridCol w:w="4425"/>
        <w:tblGridChange w:id="0">
          <w:tblGrid>
            <w:gridCol w:w="4545"/>
            <w:gridCol w:w="4425"/>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4C">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vAlign w:val="top"/>
          </w:tcPr>
          <w:p w:rsidR="00000000" w:rsidDel="00000000" w:rsidP="00000000" w:rsidRDefault="00000000" w:rsidRPr="00000000" w14:paraId="0000004D">
            <w:pPr>
              <w:spacing w:after="120" w:before="240" w:line="276"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E">
            <w:pPr>
              <w:spacing w:after="120" w:before="240" w:line="276"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F">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0">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1">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2">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3">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4">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5">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6">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7">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8">
            <w:pPr>
              <w:spacing w:after="24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9">
            <w:pPr>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p w:rsidR="00000000" w:rsidDel="00000000" w:rsidP="00000000" w:rsidRDefault="00000000" w:rsidRPr="00000000" w14:paraId="0000005A">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Alternative Pricing Mechanisms</w:t>
      </w:r>
    </w:p>
    <w:p w:rsidR="00000000" w:rsidDel="00000000" w:rsidP="00000000" w:rsidRDefault="00000000" w:rsidRPr="00000000" w14:paraId="0000005B">
      <w:pPr>
        <w:keepNext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non-exhaustive list of pricing mechanisms are also available for use by Buyers in Call-Off Contracts. </w:t>
      </w:r>
    </w:p>
    <w:p w:rsidR="00000000" w:rsidDel="00000000" w:rsidP="00000000" w:rsidRDefault="00000000" w:rsidRPr="00000000" w14:paraId="0000005C">
      <w:pPr>
        <w:keepNext w:val="1"/>
        <w:numPr>
          <w:ilvl w:val="0"/>
          <w:numId w:val="2"/>
        </w:numPr>
        <w:spacing w:after="0" w:afterAutospacing="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Contingent price</w:t>
      </w:r>
    </w:p>
    <w:p w:rsidR="00000000" w:rsidDel="00000000" w:rsidP="00000000" w:rsidRDefault="00000000" w:rsidRPr="00000000" w14:paraId="0000005D">
      <w:pPr>
        <w:keepNext w:val="1"/>
        <w:numPr>
          <w:ilvl w:val="0"/>
          <w:numId w:val="2"/>
        </w:numPr>
        <w:spacing w:after="0" w:afterAutospacing="0" w:before="0" w:beforeAutospacing="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Fixed price</w:t>
      </w:r>
    </w:p>
    <w:p w:rsidR="00000000" w:rsidDel="00000000" w:rsidP="00000000" w:rsidRDefault="00000000" w:rsidRPr="00000000" w14:paraId="0000005E">
      <w:pPr>
        <w:keepNext w:val="1"/>
        <w:numPr>
          <w:ilvl w:val="0"/>
          <w:numId w:val="2"/>
        </w:numPr>
        <w:spacing w:after="0" w:afterAutospacing="0" w:before="0" w:beforeAutospacing="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Milestone prices</w:t>
      </w:r>
    </w:p>
    <w:p w:rsidR="00000000" w:rsidDel="00000000" w:rsidP="00000000" w:rsidRDefault="00000000" w:rsidRPr="00000000" w14:paraId="0000005F">
      <w:pPr>
        <w:keepNext w:val="1"/>
        <w:numPr>
          <w:ilvl w:val="0"/>
          <w:numId w:val="2"/>
        </w:numPr>
        <w:spacing w:after="0" w:afterAutospacing="0" w:before="0" w:beforeAutospacing="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 and reward</w:t>
      </w:r>
    </w:p>
    <w:p w:rsidR="00000000" w:rsidDel="00000000" w:rsidP="00000000" w:rsidRDefault="00000000" w:rsidRPr="00000000" w14:paraId="00000060">
      <w:pPr>
        <w:keepNext w:val="1"/>
        <w:numPr>
          <w:ilvl w:val="0"/>
          <w:numId w:val="2"/>
        </w:numPr>
        <w:spacing w:after="0" w:afterAutospacing="0" w:before="0" w:beforeAutospacing="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Volume based pricing</w:t>
      </w:r>
    </w:p>
    <w:p w:rsidR="00000000" w:rsidDel="00000000" w:rsidP="00000000" w:rsidRDefault="00000000" w:rsidRPr="00000000" w14:paraId="00000061">
      <w:pPr>
        <w:keepNext w:val="1"/>
        <w:numPr>
          <w:ilvl w:val="0"/>
          <w:numId w:val="2"/>
        </w:numPr>
        <w:spacing w:after="240" w:before="0" w:beforeAutospacing="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Technology enabled services</w:t>
      </w:r>
      <w:r w:rsidDel="00000000" w:rsidR="00000000" w:rsidRPr="00000000">
        <w:rPr>
          <w:rtl w:val="0"/>
        </w:rPr>
      </w:r>
    </w:p>
    <w:p w:rsidR="00000000" w:rsidDel="00000000" w:rsidP="00000000" w:rsidRDefault="00000000" w:rsidRPr="00000000" w14:paraId="0000006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rates tendered under the above alternative pricing mechanisms are also subject to variation by way of indexation if allowed in the Order Form.</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77.0708661417325"/>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gkbNzfo9EOvTqev69aRNigpCWg==">CgMxLjAyCGguZ2pkZ3hzMgloLjMwajB6bGwyCmlkLjN6bnlzaDcyCWguMWZvYjl0ZTIJaC4zZHk2dmttMgloLjF0M2g1c2Y4AHIhMS03czdLTHprelpLb292bklGeHR5Und1ZjlJM1AzVUE4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